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Word to PDF semantic fidelity</w:t>
      </w:r>
    </w:p>
    <w:p>
      <w:r>
        <w:rPr>
          <w:b/>
        </w:rPr>
        <w:t xml:space="preserve">SEMANTIC-DOCX-ALPHA-2026. </w:t>
      </w:r>
      <w:r>
        <w:t xml:space="preserve">This sentence mixes </w:t>
      </w:r>
      <w:r>
        <w:rPr>
          <w:b/>
        </w:rPr>
        <w:t>bold</w:t>
      </w:r>
      <w:r>
        <w:t xml:space="preserve">, </w:t>
      </w:r>
      <w:r>
        <w:rPr>
          <w:i/>
        </w:rPr>
        <w:t>italic</w:t>
      </w:r>
      <w:r>
        <w:t xml:space="preserve">, </w:t>
      </w:r>
      <w:r>
        <w:rPr>
          <w:u w:val="single"/>
        </w:rPr>
        <w:t>underlined</w:t>
      </w:r>
      <w:r>
        <w:t xml:space="preserve">, and </w:t>
      </w:r>
      <w:r>
        <w:rPr>
          <w:color w:val="2563EB"/>
        </w:rPr>
        <w:t>blue text</w:t>
      </w:r>
      <w:r>
        <w:t xml:space="preserve"> without losing reading order.</w:t>
      </w:r>
    </w:p>
    <w:p>
      <w:pPr>
        <w:pStyle w:val="Heading1"/>
      </w:pPr>
      <w:r>
        <w:t>Lists and indentation</w:t>
      </w:r>
    </w:p>
    <w:p>
      <w:pPr>
        <w:pStyle w:val="ListNumber"/>
      </w:pPr>
      <w:r>
        <w:t>First numbered requirement</w:t>
      </w:r>
    </w:p>
    <w:p>
      <w:pPr>
        <w:pStyle w:val="ListNumber"/>
      </w:pPr>
      <w:r>
        <w:t>Second numbered requirement</w:t>
      </w:r>
    </w:p>
    <w:p>
      <w:pPr>
        <w:pStyle w:val="ListNumber"/>
      </w:pPr>
      <w:r>
        <w:t>Third numbered requirement</w:t>
      </w:r>
    </w:p>
    <w:p>
      <w:pPr>
        <w:pStyle w:val="ListBullet"/>
      </w:pPr>
      <w:r>
        <w:t>Primary bullet</w:t>
      </w:r>
    </w:p>
    <w:p>
      <w:pPr>
        <w:pStyle w:val="ListBullet"/>
      </w:pPr>
      <w:r>
        <w:t>Second bullet</w:t>
      </w:r>
    </w:p>
    <w:p>
      <w:pPr>
        <w:pStyle w:val="ListBullet2"/>
        <w:ind w:left="720" w:hanging="288"/>
      </w:pPr>
      <w:r>
        <w:t>Nested bullet with a hanging indent</w:t>
      </w:r>
    </w:p>
    <w:p>
      <w:pPr>
        <w:pStyle w:val="Heading1"/>
      </w:pPr>
      <w:r>
        <w:t>Merged table with repeated header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8"/>
        <w:gridCol w:w="2498"/>
        <w:gridCol w:w="2498"/>
        <w:gridCol w:w="2498"/>
      </w:tblGrid>
      <w:tr>
        <w:trPr>
          <w:tblHeader w:val="true"/>
        </w:trPr>
        <w:tc>
          <w:tcPr>
            <w:tcW w:type="dxa" w:w="2498"/>
            <w:shd w:fill="DBEAFE"/>
            <w:vAlign w:val="center"/>
          </w:tcPr>
          <w:p>
            <w:r>
              <w:rPr>
                <w:b/>
              </w:rPr>
              <w:t>Region</w:t>
            </w:r>
          </w:p>
        </w:tc>
        <w:tc>
          <w:tcPr>
            <w:tcW w:type="dxa" w:w="2498"/>
            <w:shd w:fill="DBEAFE"/>
            <w:vAlign w:val="center"/>
          </w:tcPr>
          <w:p>
            <w:r>
              <w:rPr>
                <w:b/>
              </w:rPr>
              <w:t>Q1</w:t>
            </w:r>
          </w:p>
        </w:tc>
        <w:tc>
          <w:tcPr>
            <w:tcW w:type="dxa" w:w="2498"/>
            <w:shd w:fill="DBEAFE"/>
            <w:vAlign w:val="center"/>
          </w:tcPr>
          <w:p>
            <w:r>
              <w:rPr>
                <w:b/>
              </w:rPr>
              <w:t>Q2</w:t>
            </w:r>
          </w:p>
        </w:tc>
        <w:tc>
          <w:tcPr>
            <w:tcW w:type="dxa" w:w="2498"/>
            <w:shd w:fill="DBEAFE"/>
            <w:vAlign w:val="center"/>
          </w:tcPr>
          <w:p>
            <w:r>
              <w:rPr>
                <w:b/>
              </w:rPr>
              <w:t>Notes</w:t>
            </w:r>
          </w:p>
        </w:tc>
      </w:tr>
      <w:tr>
        <w:tc>
          <w:tcPr>
            <w:tcW w:type="dxa" w:w="2498"/>
          </w:tcPr>
          <w:p>
            <w:r>
              <w:t>Region 1</w:t>
            </w:r>
          </w:p>
        </w:tc>
        <w:tc>
          <w:tcPr>
            <w:tcW w:type="dxa" w:w="2498"/>
          </w:tcPr>
          <w:p>
            <w:r>
              <w:t>11%</w:t>
            </w:r>
          </w:p>
        </w:tc>
        <w:tc>
          <w:tcPr>
            <w:tcW w:type="dxa" w:w="2498"/>
          </w:tcPr>
          <w:p>
            <w:r>
              <w:t>13%</w:t>
            </w:r>
          </w:p>
        </w:tc>
        <w:tc>
          <w:tcPr>
            <w:tcW w:type="dxa" w:w="2498"/>
          </w:tcPr>
          <w:p>
            <w:r>
              <w:t>TABLE-MARKER-R1-2026</w:t>
            </w:r>
          </w:p>
        </w:tc>
      </w:tr>
      <w:tr>
        <w:tc>
          <w:tcPr>
            <w:tcW w:type="dxa" w:w="2498"/>
          </w:tcPr>
          <w:p>
            <w:r>
              <w:t>Region 2</w:t>
            </w:r>
          </w:p>
        </w:tc>
        <w:tc>
          <w:tcPr>
            <w:tcW w:type="dxa" w:w="2498"/>
          </w:tcPr>
          <w:p>
            <w:r>
              <w:t>22%</w:t>
            </w:r>
          </w:p>
        </w:tc>
        <w:tc>
          <w:tcPr>
            <w:tcW w:type="dxa" w:w="2498"/>
          </w:tcPr>
          <w:p>
            <w:r>
              <w:t>26%</w:t>
            </w:r>
          </w:p>
        </w:tc>
        <w:tc>
          <w:tcPr>
            <w:tcW w:type="dxa" w:w="2498"/>
          </w:tcPr>
          <w:p>
            <w:r>
              <w:t>TABLE-MARKER-R2-2026</w:t>
            </w:r>
          </w:p>
        </w:tc>
      </w:tr>
      <w:tr>
        <w:tc>
          <w:tcPr>
            <w:tcW w:type="dxa" w:w="2498"/>
          </w:tcPr>
          <w:p>
            <w:r>
              <w:t>Region 3</w:t>
            </w:r>
          </w:p>
        </w:tc>
        <w:tc>
          <w:tcPr>
            <w:tcW w:type="dxa" w:w="2498"/>
          </w:tcPr>
          <w:p>
            <w:r>
              <w:t>33%</w:t>
            </w:r>
          </w:p>
        </w:tc>
        <w:tc>
          <w:tcPr>
            <w:tcW w:type="dxa" w:w="2498"/>
          </w:tcPr>
          <w:p>
            <w:r>
              <w:t>39%</w:t>
            </w:r>
          </w:p>
        </w:tc>
        <w:tc>
          <w:tcPr>
            <w:tcW w:type="dxa" w:w="2498"/>
          </w:tcPr>
          <w:p>
            <w:r>
              <w:t>TABLE-MARKER-R3-2026</w:t>
            </w:r>
          </w:p>
        </w:tc>
      </w:tr>
      <w:tr>
        <w:tc>
          <w:tcPr>
            <w:tcW w:type="dxa" w:w="2498"/>
          </w:tcPr>
          <w:p>
            <w:r>
              <w:t>Region 4</w:t>
            </w:r>
          </w:p>
        </w:tc>
        <w:tc>
          <w:tcPr>
            <w:tcW w:type="dxa" w:w="2498"/>
          </w:tcPr>
          <w:p>
            <w:r>
              <w:t>44%</w:t>
            </w:r>
          </w:p>
        </w:tc>
        <w:tc>
          <w:tcPr>
            <w:tcW w:type="dxa" w:w="2498"/>
          </w:tcPr>
          <w:p>
            <w:r>
              <w:t>52%</w:t>
            </w:r>
          </w:p>
        </w:tc>
        <w:tc>
          <w:tcPr>
            <w:tcW w:type="dxa" w:w="2498"/>
          </w:tcPr>
          <w:p>
            <w:r>
              <w:t>TABLE-MARKER-R4-2026</w:t>
            </w:r>
          </w:p>
        </w:tc>
      </w:tr>
      <w:tr>
        <w:tc>
          <w:tcPr>
            <w:tcW w:type="dxa" w:w="2498"/>
          </w:tcPr>
          <w:p>
            <w:r>
              <w:t>Region 5</w:t>
            </w:r>
          </w:p>
        </w:tc>
        <w:tc>
          <w:tcPr>
            <w:tcW w:type="dxa" w:w="2498"/>
          </w:tcPr>
          <w:p>
            <w:r>
              <w:t>55%</w:t>
            </w:r>
          </w:p>
        </w:tc>
        <w:tc>
          <w:tcPr>
            <w:tcW w:type="dxa" w:w="2498"/>
          </w:tcPr>
          <w:p>
            <w:r>
              <w:t>65%</w:t>
            </w:r>
          </w:p>
        </w:tc>
        <w:tc>
          <w:tcPr>
            <w:tcW w:type="dxa" w:w="2498"/>
          </w:tcPr>
          <w:p>
            <w:r>
              <w:t>TABLE-MARKER-R5-2026</w:t>
            </w:r>
          </w:p>
        </w:tc>
      </w:tr>
      <w:tr>
        <w:tc>
          <w:tcPr>
            <w:tcW w:type="dxa" w:w="2498"/>
          </w:tcPr>
          <w:p>
            <w:r>
              <w:t>Region 6</w:t>
            </w:r>
          </w:p>
        </w:tc>
        <w:tc>
          <w:tcPr>
            <w:tcW w:type="dxa" w:w="2498"/>
          </w:tcPr>
          <w:p>
            <w:r>
              <w:t>66%</w:t>
            </w:r>
          </w:p>
        </w:tc>
        <w:tc>
          <w:tcPr>
            <w:tcW w:type="dxa" w:w="2498"/>
          </w:tcPr>
          <w:p>
            <w:r>
              <w:t>78%</w:t>
            </w:r>
          </w:p>
        </w:tc>
        <w:tc>
          <w:tcPr>
            <w:tcW w:type="dxa" w:w="2498"/>
          </w:tcPr>
          <w:p>
            <w:r>
              <w:t>TABLE-MARKER-R6-2026</w:t>
            </w:r>
          </w:p>
        </w:tc>
      </w:tr>
      <w:tr>
        <w:tc>
          <w:tcPr>
            <w:tcW w:type="dxa" w:w="4996"/>
            <w:gridSpan w:val="2"/>
          </w:tcPr>
          <w:p>
            <w:r>
              <w:t>Merged summary cell</w:t>
            </w:r>
          </w:p>
        </w:tc>
        <w:tc>
          <w:tcPr>
            <w:tcW w:type="dxa" w:w="2498"/>
          </w:tcPr>
          <w:p>
            <w:r>
              <w:t>91%</w:t>
            </w:r>
          </w:p>
        </w:tc>
        <w:tc>
          <w:tcPr>
            <w:tcW w:type="dxa" w:w="2498"/>
          </w:tcPr>
          <w:p>
            <w:r>
              <w:t>TABLE-MARKER-R7-2026</w:t>
            </w:r>
          </w:p>
        </w:tc>
      </w:tr>
    </w:tbl>
    <w:p>
      <w:pPr>
        <w:pStyle w:val="Heading1"/>
      </w:pPr>
      <w:r>
        <w:t>Image and link</w:t>
      </w:r>
    </w:p>
    <w:p>
      <w:r>
        <w:drawing>
          <wp:inline xmlns:a="http://schemas.openxmlformats.org/drawingml/2006/main" xmlns:pic="http://schemas.openxmlformats.org/drawingml/2006/picture">
            <wp:extent cx="5257800" cy="271653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eterministic-char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7165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  <w:jc w:val="center"/>
      </w:pPr>
      <w:r>
        <w:t>Figure 1. Deterministic chart image</w:t>
      </w:r>
    </w:p>
    <w:p>
      <w:r>
        <w:t xml:space="preserve">Reference: </w:t>
      </w:r>
      <w:hyperlink r:id="rId12">
        <w:r>
          <w:rPr>
            <w:color w:val="2563EB"/>
            <w:u w:val="single"/>
          </w:rPr>
          <w:t>example.invalid conversion specification</w:t>
        </w:r>
      </w:hyperlink>
    </w:p>
    <w:p>
      <w:r>
        <w:br w:type="page"/>
      </w:r>
    </w:p>
    <w:p>
      <w:pPr>
        <w:pStyle w:val="Heading1"/>
      </w:pPr>
      <w:r>
        <w:t>Manual page-break controls</w:t>
      </w:r>
    </w:p>
    <w:p>
      <w:r>
        <w:t>SEMANTIC-DOCX-BETA-2026. Manual page break must begin this section on a new page.</w:t>
      </w:r>
    </w:p>
    <w:p>
      <w:pPr>
        <w:spacing w:before="160" w:after="160"/>
        <w:ind w:left="576" w:right="576"/>
      </w:pPr>
      <w:r>
        <w:rPr>
          <w:i/>
        </w:rPr>
        <w:t>A quoted paragraph should remain visually distinct from ordinary body copy.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CONFIDENTIAL QA - </w:t>
    </w:r>
    <w:r>
      <w:rPr>
        <w:sz w:val="18"/>
      </w:rPr>
      <w:t xml:space="preserve">Page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75569"/>
        <w:sz w:val="16"/>
      </w:rPr>
      <w:t>SEMANTIC-DOCX-HEADER-2026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1E3A8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563E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hyperlink" Target="https://example.invalid/conversion-sp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Semantic DOCX fidelity fixture</dc:title>
  <dc:subject/>
  <dc:creator>GoPDFConverter deterministic QA</dc:creator>
  <cp:keywords/>
  <dc:description>generated by python-docx</dc:description>
  <cp:lastModifiedBy/>
  <cp:revision>1</cp:revision>
  <dcterms:created xsi:type="dcterms:W3CDTF">2026-07-10T00:00:00Z</dcterms:created>
  <dcterms:modified xsi:type="dcterms:W3CDTF">2026-07-10T00:00:00Z</dcterms:modified>
  <cp:category/>
</cp:coreProperties>
</file>